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1296"/>
          <w:tab w:val="left" w:pos="9624" w:leader="none"/>
        </w:tabs>
        <w:ind w:left="5102" w:hanging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>PATVIRTINTA</w:t>
      </w:r>
    </w:p>
    <w:p>
      <w:pPr>
        <w:pStyle w:val="Normal"/>
        <w:tabs>
          <w:tab w:val="clear" w:pos="1296"/>
          <w:tab w:val="left" w:pos="9624" w:leader="none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>Panevėžio miesto savivaldybės</w:t>
      </w:r>
    </w:p>
    <w:p>
      <w:pPr>
        <w:pStyle w:val="Normal"/>
        <w:tabs>
          <w:tab w:val="clear" w:pos="1296"/>
          <w:tab w:val="left" w:pos="9624" w:leader="none"/>
        </w:tabs>
        <w:ind w:left="5102" w:hanging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>administracijos direktoriaus</w:t>
      </w:r>
    </w:p>
    <w:p>
      <w:pPr>
        <w:pStyle w:val="Normal"/>
        <w:tabs>
          <w:tab w:val="clear" w:pos="1296"/>
          <w:tab w:val="left" w:pos="9624" w:leader="none"/>
        </w:tabs>
        <w:ind w:left="5102" w:hanging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>2022 m. sausio 6 d. įsakymu Nr. A-21</w:t>
      </w:r>
    </w:p>
    <w:p>
      <w:pPr>
        <w:pStyle w:val="Normal"/>
        <w:tabs>
          <w:tab w:val="clear" w:pos="1296"/>
          <w:tab w:val="left" w:pos="9624" w:leader="none"/>
        </w:tabs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1296"/>
          <w:tab w:val="left" w:pos="9624" w:leader="none"/>
        </w:tabs>
        <w:jc w:val="center"/>
        <w:rPr/>
      </w:pPr>
      <w:r>
        <w:rPr>
          <w:szCs w:val="24"/>
        </w:rPr>
        <w:t>PANEVĖŽIO KRAŠTOTYROS MUZIEJAUS</w:t>
      </w:r>
    </w:p>
    <w:p>
      <w:pPr>
        <w:pStyle w:val="Normal"/>
        <w:jc w:val="center"/>
        <w:rPr>
          <w:rFonts w:eastAsia="MS Mincho;MS Gothic"/>
          <w:b/>
          <w:b/>
        </w:rPr>
      </w:pPr>
      <w:r>
        <w:rPr>
          <w:rFonts w:eastAsia="MS Mincho;MS Gothic"/>
          <w:b/>
        </w:rPr>
        <w:t xml:space="preserve">(įstaigos pavadinimas) </w:t>
      </w:r>
    </w:p>
    <w:p>
      <w:pPr>
        <w:pStyle w:val="Normal"/>
        <w:jc w:val="center"/>
        <w:rPr>
          <w:rFonts w:eastAsia="MS Mincho;MS Gothic"/>
          <w:b/>
          <w:b/>
          <w:szCs w:val="24"/>
        </w:rPr>
      </w:pPr>
      <w:r>
        <w:rPr>
          <w:rFonts w:eastAsia="MS Mincho;MS Gothic"/>
          <w:b/>
          <w:szCs w:val="24"/>
        </w:rPr>
        <w:t>2022 METŲ VEIKLOS PLANO VYKDYMO ATASKAITA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tbl>
      <w:tblPr>
        <w:tblStyle w:val="Lentelstinklelis"/>
        <w:tblW w:w="1525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468"/>
        <w:gridCol w:w="485"/>
        <w:gridCol w:w="485"/>
        <w:gridCol w:w="9"/>
        <w:gridCol w:w="494"/>
        <w:gridCol w:w="1748"/>
        <w:gridCol w:w="1576"/>
        <w:gridCol w:w="2836"/>
        <w:gridCol w:w="1258"/>
        <w:gridCol w:w="961"/>
        <w:gridCol w:w="1021"/>
        <w:gridCol w:w="1754"/>
        <w:gridCol w:w="2158"/>
      </w:tblGrid>
      <w:tr>
        <w:trPr>
          <w:trHeight w:val="719" w:hRule="atLeast"/>
        </w:trPr>
        <w:tc>
          <w:tcPr>
            <w:tcW w:w="468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szCs w:val="22"/>
                <w:lang w:val="lt-LT" w:eastAsia="lt-LT" w:bidi="ar-SA"/>
              </w:rPr>
              <w:t>Tikslo kodas</w:t>
            </w:r>
          </w:p>
        </w:tc>
        <w:tc>
          <w:tcPr>
            <w:tcW w:w="485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szCs w:val="22"/>
                <w:lang w:val="lt-LT" w:eastAsia="lt-LT" w:bidi="ar-SA"/>
              </w:rPr>
              <w:t>Uždavinio kodas</w:t>
            </w:r>
          </w:p>
        </w:tc>
        <w:tc>
          <w:tcPr>
            <w:tcW w:w="485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szCs w:val="22"/>
                <w:lang w:val="lt-LT" w:eastAsia="lt-LT" w:bidi="ar-SA"/>
              </w:rPr>
              <w:t>Priemonės kodas</w:t>
            </w:r>
          </w:p>
        </w:tc>
        <w:tc>
          <w:tcPr>
            <w:tcW w:w="503" w:type="dxa"/>
            <w:gridSpan w:val="2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  <w:lang w:eastAsia="lt-LT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lt-LT" w:eastAsia="lt-LT" w:bidi="ar-SA"/>
              </w:rPr>
              <w:t>Papriemonės kodas</w:t>
            </w:r>
          </w:p>
        </w:tc>
        <w:tc>
          <w:tcPr>
            <w:tcW w:w="174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szCs w:val="22"/>
                <w:lang w:val="lt-LT" w:eastAsia="lt-LT" w:bidi="ar-SA"/>
              </w:rPr>
              <w:t>Pavadinimas</w:t>
            </w:r>
          </w:p>
        </w:tc>
        <w:tc>
          <w:tcPr>
            <w:tcW w:w="157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eastAsia="MS Mincho" w:cs="Times New Roman"/>
                <w:b/>
                <w:kern w:val="0"/>
                <w:sz w:val="20"/>
                <w:szCs w:val="22"/>
                <w:lang w:val="lt-LT" w:bidi="ar-SA"/>
              </w:rPr>
              <w:t>Vykdytojas, projekto vadovas ar pareigybė</w:t>
            </w:r>
          </w:p>
        </w:tc>
        <w:tc>
          <w:tcPr>
            <w:tcW w:w="60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Tikslo, uždavinio, priemonės, papriemonės, rezultato (produkto) vertinimo kriterijaus</w:t>
            </w:r>
          </w:p>
        </w:tc>
        <w:tc>
          <w:tcPr>
            <w:tcW w:w="1754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Informacija apie  pasiektus rezultatus</w:t>
            </w:r>
          </w:p>
        </w:tc>
        <w:tc>
          <w:tcPr>
            <w:tcW w:w="215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Paaiškinimai dėl nukrypimo</w:t>
            </w:r>
          </w:p>
        </w:tc>
      </w:tr>
      <w:tr>
        <w:trPr>
          <w:trHeight w:val="1551" w:hRule="atLeast"/>
        </w:trPr>
        <w:tc>
          <w:tcPr>
            <w:tcW w:w="468" w:type="dxa"/>
            <w:vMerge w:val="continue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eastAsia="MS Mincho"/>
                <w:b/>
                <w:sz w:val="20"/>
              </w:rPr>
            </w:r>
          </w:p>
        </w:tc>
        <w:tc>
          <w:tcPr>
            <w:tcW w:w="485" w:type="dxa"/>
            <w:vMerge w:val="continue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eastAsia="MS Mincho"/>
                <w:b/>
                <w:sz w:val="20"/>
              </w:rPr>
            </w:r>
          </w:p>
        </w:tc>
        <w:tc>
          <w:tcPr>
            <w:tcW w:w="485" w:type="dxa"/>
            <w:vMerge w:val="continue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eastAsia="MS Mincho"/>
                <w:b/>
                <w:sz w:val="20"/>
              </w:rPr>
            </w:r>
          </w:p>
        </w:tc>
        <w:tc>
          <w:tcPr>
            <w:tcW w:w="503" w:type="dxa"/>
            <w:gridSpan w:val="2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eastAsia="MS Mincho"/>
                <w:b/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eastAsia="MS Mincho"/>
                <w:b/>
                <w:sz w:val="20"/>
              </w:rPr>
            </w:r>
          </w:p>
        </w:tc>
        <w:tc>
          <w:tcPr>
            <w:tcW w:w="157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eastAsia="MS Mincho"/>
                <w:b/>
                <w:sz w:val="20"/>
              </w:rPr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szCs w:val="22"/>
                <w:lang w:val="lt-LT" w:eastAsia="lt-LT" w:bidi="ar-SA"/>
              </w:rPr>
              <w:t>pavadinimas</w:t>
            </w:r>
          </w:p>
        </w:tc>
        <w:tc>
          <w:tcPr>
            <w:tcW w:w="12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eastAsia="lt-LT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lt-LT" w:eastAsia="lt-LT" w:bidi="ar-SA"/>
              </w:rPr>
              <w:t>mato vnt.</w:t>
            </w:r>
          </w:p>
        </w:tc>
        <w:tc>
          <w:tcPr>
            <w:tcW w:w="9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lt-LT" w:eastAsia="lt-LT" w:bidi="ar-SA"/>
              </w:rPr>
              <w:t>2022 m. planuota reikšmė, rezultatas</w:t>
            </w:r>
          </w:p>
        </w:tc>
        <w:tc>
          <w:tcPr>
            <w:tcW w:w="10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lt-LT" w:eastAsia="lt-LT" w:bidi="ar-SA"/>
              </w:rPr>
              <w:t>2022 m. faktinė reikšmė, rezultatas</w:t>
            </w:r>
          </w:p>
        </w:tc>
        <w:tc>
          <w:tcPr>
            <w:tcW w:w="1754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eastAsia="lt-LT"/>
              </w:rPr>
            </w:pPr>
            <w:r>
              <w:rPr>
                <w:b/>
                <w:sz w:val="20"/>
                <w:lang w:eastAsia="lt-LT"/>
              </w:rPr>
            </w:r>
          </w:p>
        </w:tc>
        <w:tc>
          <w:tcPr>
            <w:tcW w:w="215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eastAsia="lt-LT"/>
              </w:rPr>
            </w:pPr>
            <w:r>
              <w:rPr>
                <w:b/>
                <w:sz w:val="20"/>
                <w:lang w:eastAsia="lt-LT"/>
              </w:rPr>
            </w:r>
          </w:p>
        </w:tc>
      </w:tr>
      <w:tr>
        <w:trPr>
          <w:trHeight w:val="304" w:hRule="atLeast"/>
        </w:trPr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797" w:type="dxa"/>
            <w:gridSpan w:val="6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Kurti tvarią socialinę ir ekonominę kultūros vertę Panevėžyje (tikslo pavadinimas)</w:t>
            </w:r>
          </w:p>
        </w:tc>
        <w:tc>
          <w:tcPr>
            <w:tcW w:w="2836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Kultūros paslaugas naudojančių gyventojų skaičiaus pokytis</w:t>
            </w:r>
          </w:p>
        </w:tc>
        <w:tc>
          <w:tcPr>
            <w:tcW w:w="125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Proc.</w:t>
            </w:r>
          </w:p>
        </w:tc>
        <w:tc>
          <w:tcPr>
            <w:tcW w:w="961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9,3</w:t>
            </w:r>
          </w:p>
        </w:tc>
        <w:tc>
          <w:tcPr>
            <w:tcW w:w="1021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84,0</w:t>
            </w:r>
          </w:p>
        </w:tc>
        <w:tc>
          <w:tcPr>
            <w:tcW w:w="1754" w:type="dxa"/>
            <w:tcBorders>
              <w:right w:val="nil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Rezultatas pasiektas ir viršytas</w:t>
            </w:r>
          </w:p>
        </w:tc>
        <w:tc>
          <w:tcPr>
            <w:tcW w:w="215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auto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2"/>
                <w:lang w:val="lt-LT" w:bidi="ar-SA"/>
              </w:rPr>
              <w:t>2022 m. muziejaus paslaugomis naudojosi 26 113 lankytojų, 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auto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2"/>
                <w:lang w:val="lt-LT" w:bidi="ar-SA"/>
              </w:rPr>
              <w:t>2021 m. – 14 191.</w:t>
            </w:r>
          </w:p>
        </w:tc>
      </w:tr>
      <w:tr>
        <w:trPr/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312" w:type="dxa"/>
            <w:gridSpan w:val="5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Padidinti miesto bendruomenės įtraukti į kultūros kūrimą ir naudojimąsi kultūros produktais bei paslaugomis (uždavinio pavadinimas)</w:t>
            </w:r>
          </w:p>
        </w:tc>
        <w:tc>
          <w:tcPr>
            <w:tcW w:w="2836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Miesto bendruomenės įtraukties pokytis lyginant su praėjusiais metais</w:t>
            </w:r>
          </w:p>
        </w:tc>
        <w:tc>
          <w:tcPr>
            <w:tcW w:w="1258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lt-LT" w:bidi="ar-SA"/>
              </w:rPr>
              <w:t>Teigiamas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lt-LT" w:bidi="ar-SA"/>
              </w:rPr>
              <w:t>Nepakitęs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lt-LT" w:bidi="ar-SA"/>
              </w:rPr>
              <w:t>Neigiamas</w:t>
            </w:r>
          </w:p>
        </w:tc>
        <w:tc>
          <w:tcPr>
            <w:tcW w:w="961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Teigiamas</w:t>
            </w:r>
          </w:p>
        </w:tc>
        <w:tc>
          <w:tcPr>
            <w:tcW w:w="1021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Teigiamas</w:t>
            </w:r>
          </w:p>
        </w:tc>
        <w:tc>
          <w:tcPr>
            <w:tcW w:w="1754" w:type="dxa"/>
            <w:tcBorders>
              <w:right w:val="nil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lang w:val="lt-LT" w:bidi="ar-SA"/>
              </w:rPr>
            </w:pPr>
            <w:r>
              <w:rPr>
                <w:rFonts w:eastAsia="Calibri" w:cs="Times New Roman"/>
                <w:bCs/>
                <w:color w:val="auto"/>
                <w:kern w:val="0"/>
                <w:sz w:val="20"/>
                <w:szCs w:val="20"/>
                <w:lang w:val="lt-LT" w:eastAsia="lt-LT" w:bidi="ar-SA"/>
              </w:rPr>
              <w:t>Rezultatas pasiektas</w:t>
            </w:r>
          </w:p>
        </w:tc>
        <w:tc>
          <w:tcPr>
            <w:tcW w:w="2158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sz w:val="20"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Tai atsispindi lankytojų pasitenkinimo teikiamomis paslaugomis anketinio vertinimo rezultatais.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Muziejaus patalpomis patenkinti 90,7% lankytojų;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Aptarnavimo kokybe patenkinti 95%;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bCs/>
                <w:sz w:val="20"/>
                <w:lang w:eastAsia="lt-LT"/>
              </w:rPr>
            </w:pPr>
            <w:r>
              <w:rPr>
                <w:rFonts w:eastAsia="MS Mincho" w:cs="Times New Roman"/>
                <w:bCs/>
                <w:kern w:val="0"/>
                <w:sz w:val="20"/>
                <w:szCs w:val="20"/>
                <w:lang w:val="lt-LT" w:eastAsia="lt-LT" w:bidi="ar-SA"/>
              </w:rPr>
              <w:t>Ekspozicijomis patenkinti 83,5%.</w:t>
            </w:r>
          </w:p>
        </w:tc>
      </w:tr>
      <w:tr>
        <w:trPr/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2251" w:type="dxa"/>
            <w:gridSpan w:val="3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Kultūros renginių rinkodaros priemonių įgyvendinimas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I. Varanavičienė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R. Jasiūnienė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bCs/>
                <w:kern w:val="0"/>
                <w:sz w:val="20"/>
                <w:szCs w:val="22"/>
                <w:lang w:val="lt-LT" w:eastAsia="lt-LT" w:bidi="ar-SA"/>
              </w:rPr>
              <w:t>Įgyvendintų renginių rinkodaros priemonių rūšių skaičius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5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7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viršytas 2 priemonėmis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>Pagrindinės muziejaus rinkodaros priemonės: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color w:val="auto"/>
                <w:sz w:val="20"/>
                <w:szCs w:val="20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 xml:space="preserve">1. Vietinė TV, spauda ir socialiniai tinklai:  </w:t>
            </w:r>
            <w:hyperlink r:id="rId2">
              <w:r>
                <w:rPr>
                  <w:rStyle w:val="Internetosaitas"/>
                  <w:rFonts w:eastAsia="MS Mincho" w:cs="Times New Roman"/>
                  <w:color w:val="auto"/>
                  <w:kern w:val="0"/>
                  <w:sz w:val="20"/>
                  <w:szCs w:val="20"/>
                  <w:u w:val="none"/>
                  <w:lang w:val="lt-LT" w:bidi="ar-SA"/>
                </w:rPr>
                <w:t>www.facebook.com</w:t>
              </w:r>
            </w:hyperlink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 xml:space="preserve">,  </w:t>
            </w:r>
            <w:hyperlink r:id="rId3">
              <w:r>
                <w:rPr>
                  <w:rStyle w:val="Internetosaitas"/>
                  <w:rFonts w:eastAsia="MS Mincho" w:cs="Times New Roman"/>
                  <w:color w:val="auto"/>
                  <w:kern w:val="0"/>
                  <w:sz w:val="20"/>
                  <w:szCs w:val="20"/>
                  <w:u w:val="none"/>
                  <w:lang w:val="lt-LT" w:bidi="ar-SA"/>
                </w:rPr>
                <w:t>www.instagram.com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 xml:space="preserve">2.Videoplatforma: </w:t>
            </w:r>
            <w:r>
              <w:rPr>
                <w:rStyle w:val="Internetosaitas"/>
                <w:rFonts w:eastAsia="MS Mincho" w:cs="Times New Roman"/>
                <w:color w:val="auto"/>
                <w:kern w:val="0"/>
                <w:sz w:val="20"/>
                <w:szCs w:val="20"/>
                <w:u w:val="none"/>
                <w:lang w:val="lt-LT" w:bidi="ar-SA"/>
              </w:rPr>
              <w:t>www.youtube.com;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>3. Internetinės muziejaus svetainės;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>4. Lauko ekranas;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>5. Skrajutės, plakatai;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>6. El. laiškai pagal atitinkamą kontaktų sąrašą;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>7. Nemokamas paskutinio mėn. sekmadienis (per metus sekmadieniais muziejų aplankė 386 lankytojai).</w:t>
            </w:r>
          </w:p>
        </w:tc>
      </w:tr>
      <w:tr>
        <w:trPr/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2251" w:type="dxa"/>
            <w:gridSpan w:val="3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Muziejininkai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Publikacijų ir interviu skaičius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160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val="lt-LT" w:bidi="ar-SA"/>
              </w:rPr>
              <w:t>148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Planas iš dalies įgyvendintas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Muziejininkai paskelbė spaudoje 69 straipsnius;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TV, spaudos atstovams interviu teikė 79 kartus. Iš jų respublikinėje TV – 13 kartų; vietinėje TV – 15, vietinėje spaudoje – 48 kartus,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Respubl. radijas - 2.</w:t>
            </w:r>
          </w:p>
        </w:tc>
      </w:tr>
      <w:tr>
        <w:trPr/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02</w:t>
            </w:r>
          </w:p>
        </w:tc>
        <w:tc>
          <w:tcPr>
            <w:tcW w:w="2251" w:type="dxa"/>
            <w:gridSpan w:val="3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Miesto viešųjų erdvių įveiklinimas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Muziejininkai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bCs/>
                <w:kern w:val="0"/>
                <w:sz w:val="20"/>
                <w:szCs w:val="22"/>
                <w:lang w:val="lt-LT" w:eastAsia="lt-LT" w:bidi="ar-SA"/>
              </w:rPr>
              <w:t>Įveiklintų erdvių skaičius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3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3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Įveiklintos erdvės: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Parodos „Panevėžio gatvės: žmonės, įvykiai, vaizdai“ įrengimas  Sausio 13-osios skvere;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Teritorijoje prie muziejaus vyko „Dėlionių maratonas“, skirtas vaikų gynimo dienai ir miesto gimtadienio metu veikė įvairi programa;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Muziejaus stendas „Panevėžio gatvės: žmonės, įvykiai, vaizdai“ pastatytas Laisvės a.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2251" w:type="dxa"/>
            <w:gridSpan w:val="3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G. Baltuškienė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A. Astramskas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Suorganizuotų lauko renginių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11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8  renginiais lauke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Suorganizuota: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4 ekskursijos po miestą;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Programa Užgavėnių šventėje;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4 renginiai prie muziejaus ir Laisvės a.;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 xml:space="preserve">Lauko parodos </w:t>
            </w: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„Panevėžio gatvės: žmonės, įvykiai, vaizdai“ pristatymas;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Akcija „Uždek žvakutę ant partizanų kapo“.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2251" w:type="dxa"/>
            <w:gridSpan w:val="3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G. Baltuškienė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bCs/>
                <w:kern w:val="0"/>
                <w:sz w:val="20"/>
                <w:szCs w:val="22"/>
                <w:lang w:val="lt-LT" w:eastAsia="lt-LT" w:bidi="ar-SA"/>
              </w:rPr>
              <w:t>Suorganizuotų lauko renginių lankytojų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350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1033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683 dalyviais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Vyko daugiau renginių lauke, dėl to pasiektas  geras lankomumo rezultatas.</w:t>
            </w:r>
          </w:p>
        </w:tc>
      </w:tr>
      <w:tr>
        <w:trPr>
          <w:trHeight w:val="303" w:hRule="atLeast"/>
        </w:trPr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2251" w:type="dxa"/>
            <w:gridSpan w:val="3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Kultūros paveldo puoselėjimas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Metinis kultūros paveldo ekspozicijų ir etnokultūrinių renginių lankytojų skaičiaus pokytis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Proc.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33,2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118,0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Pasiektas labai geras rezultatas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Per metus etnokultūriniuose renginiuose dalyvavo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14 225 lankytojai</w:t>
            </w:r>
          </w:p>
        </w:tc>
      </w:tr>
      <w:tr>
        <w:trPr>
          <w:trHeight w:val="303" w:hRule="atLeast"/>
        </w:trPr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5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01</w:t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Parengti naujas / atnaujinti ekspozicijas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A. Astramskas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Naujų/atnaujintų ekspozicijų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lt-LT" w:bidi="ar-SA"/>
              </w:rPr>
              <w:t>Planuotos</w:t>
            </w:r>
            <w:r>
              <w:rPr>
                <w:rFonts w:eastAsia="Calibri" w:cs="Times New Roman"/>
                <w:color w:val="FF0000"/>
                <w:kern w:val="0"/>
                <w:sz w:val="20"/>
                <w:szCs w:val="20"/>
                <w:lang w:val="lt-LT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ekspozicijos „Tautų katilas“ rengimas dalinai įgyvendintas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Paruošta koncepcija, planas ir dizaino projektas, baigtas  remontas, vyksta viešieji pirkimai ekspozicijos rengimui. Kadangi projektas pratęstas, tai ekspozicija bus užbaigta II šių metų ketvirtį.</w:t>
            </w:r>
          </w:p>
        </w:tc>
      </w:tr>
      <w:tr>
        <w:trPr>
          <w:trHeight w:val="303" w:hRule="atLeast"/>
        </w:trPr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5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02</w:t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Organizuoti etnokultūrinius renginius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L. Vilienė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V. Vasiliauskaitė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L. Bekerė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Suorganizuotų etnokultūrinių renginių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70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229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Planas viršytas 159 renginiais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Pasiekti rezultatai: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Pravesta 211 etnografinių edukacinių programų;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Veikia ekspozicija „Panevėžio krašto etnografija“;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Skaityta 10 paskaitų ir pranešimų etnografijos tema;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Surengtas seminaras“ „Pintinių juostų pynimo tradicija“;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Muziejaus parengtas kiemelis Užgavėnių šventėje;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2 kartus pristatyta paroda „Juostų pynimo tradicija: žmonės ir spalvos“ Ukmergės K/C ir Krekenavos K/C;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Parengtos 2 virtualios tarptautinės parodos;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Išeksponuota muziejuje ir pristatyta paroda „Juostų pynimo tradicija: žmonės ir spalvos“. Etnokultūriniuose renginiuose dalyvavo 14225 lankytojai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503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03</w:t>
            </w:r>
          </w:p>
        </w:tc>
        <w:tc>
          <w:tcPr>
            <w:tcW w:w="174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Kaupti, tirti, restauruoti, saugoti muziejinių vertybių rinkinius ir nematerialųjį paveldą</w:t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J. Gaidelienė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Naujų įsigytų eksponatų skaičius per metus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1700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2413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713 surinktais eksponatais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fondai pasipildė naujais eksponatas, iš jų: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pagrindinio fondo –  1491vnt.,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pagalbinio fondo – 922 vnt.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503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Muziejininkai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Suinventorintų eksponatų skaičius per metus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1930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2853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923 suinventorintais eksponatais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Inventorinimo rezultatai: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Istorijos skyrius suinventorino 1261 eksp.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Etninės kultūros skyrius – 355 eksp.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Rinkinių apskaitos ir saugojimo skyrius – 1237 eksp.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503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J. Gaidelienė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Muziejininkai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Pervertintų eksponatų skaičius per metus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19700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23 981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 4281 pervertintais eksponatais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Pervertinta senų eksponatų – 21568 vnt..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Įvertinta naujų eksponatų – 2413 vnt.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503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Ž. Mileris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R. Kaštaunaitė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Restauruotų eksponatų skaičius per metus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13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10 restauruotų eksponatų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Nuo 2022 m. darbą pradėjo naujas popieriaus restauratorius, dėl to pasiekti geri darbo rezultatai. Restauruoti 12 muziejaus eksponatai  ir 1 Pasvalio krašto muziejaus eksponatas.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503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B. Kaziukonienė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Ž. Mileris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R. Kaštaunaitė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Konservuotų eksponatų skaičius per metus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val="lt-LT" w:bidi="ar-SA"/>
              </w:rPr>
              <w:t>241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val="lt-LT" w:bidi="ar-SA"/>
              </w:rPr>
              <w:t>448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val="lt-LT" w:bidi="ar-SA"/>
              </w:rPr>
              <w:t>Planas viršytas 207 konservuotų eksponatų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val="lt-LT" w:bidi="ar-SA"/>
              </w:rPr>
              <w:t>Trys restauratoriai  konservavo 434 muziejaus eksponatus: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val="lt-LT" w:bidi="ar-SA"/>
              </w:rPr>
              <w:t>iš  jų 3 Pasvalio krašto muziejaus ir 11 Etnokosmologijos muziejaus eksponatų.</w:t>
            </w:r>
          </w:p>
        </w:tc>
      </w:tr>
      <w:tr>
        <w:trPr>
          <w:trHeight w:val="303" w:hRule="atLeast"/>
        </w:trPr>
        <w:tc>
          <w:tcPr>
            <w:tcW w:w="468" w:type="dxa"/>
            <w:tcBorders>
              <w:top w:val="nil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>
              <w:top w:val="nil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>
              <w:top w:val="nil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50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04</w:t>
            </w:r>
          </w:p>
        </w:tc>
        <w:tc>
          <w:tcPr>
            <w:tcW w:w="17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Tyrinėti Panevėžio regiono istoriją</w:t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Muziejininkai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Muziejinių, archeologinių, etnografinių, istorinių išvykų skaičius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40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35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Planas iš dalies įgyvendintas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Per metus buvo 18 istorinių išvykų ir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17 etnografinių išvykų.</w:t>
            </w:r>
          </w:p>
        </w:tc>
      </w:tr>
      <w:tr>
        <w:trPr>
          <w:trHeight w:val="303" w:hRule="atLeast"/>
        </w:trPr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bidi="ar-SA"/>
              </w:rPr>
              <w:t>01</w:t>
            </w:r>
          </w:p>
        </w:tc>
        <w:tc>
          <w:tcPr>
            <w:tcW w:w="485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bidi="ar-SA"/>
              </w:rPr>
              <w:t>03</w:t>
            </w:r>
          </w:p>
        </w:tc>
        <w:tc>
          <w:tcPr>
            <w:tcW w:w="5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05</w:t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Teikti konsultacijas istorijos, etnokultūros ir gamtos klausimas miesto visuomenei</w:t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Muziejininkai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Suteiktų konsultacijų miesto visuomenei skaičius per metus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300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238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Planas iš dalies įgyvendintas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shd w:fill="FFFF00" w:val="clear"/>
              </w:rPr>
            </w:pPr>
            <w:r>
              <w:rPr>
                <w:sz w:val="20"/>
                <w:szCs w:val="20"/>
                <w:shd w:fill="FFFF00" w:val="clear"/>
              </w:rPr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Konsultuota: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62 kartai istorijos-archeologijos temomis,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106 kartai etnografijos;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65 kartai fondų;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5 kartai restauravimo klausimais.   Konsultacijos vyko įvairiomis formomis – gyvai, telefonu ar virtualiu būdu.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04</w:t>
            </w:r>
          </w:p>
        </w:tc>
        <w:tc>
          <w:tcPr>
            <w:tcW w:w="2251" w:type="dxa"/>
            <w:gridSpan w:val="3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Sąlygų sudarymas miesto gyventojams dalyvauti kultūros ir meno veikloje, ugdyti kūrybiškumą ir plėsti meninę veiklą</w:t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G. Baltuškienė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Mėgėjų meno kolektyvų skaičius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Veikia choras „Likimai“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2251" w:type="dxa"/>
            <w:gridSpan w:val="3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G. Baltuškienė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Mėgėjų meno kolektyvų dalyvių skaičius per metus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Asm.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31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31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Choro „Likimai“ dalyvių skaičius nepakito.</w:t>
            </w:r>
          </w:p>
        </w:tc>
      </w:tr>
      <w:tr>
        <w:trPr>
          <w:trHeight w:val="140" w:hRule="atLeast"/>
        </w:trPr>
        <w:tc>
          <w:tcPr>
            <w:tcW w:w="468" w:type="dxa"/>
            <w:tcBorders>
              <w:top w:val="nil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>
              <w:top w:val="nil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>
              <w:top w:val="nil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05</w:t>
            </w:r>
          </w:p>
        </w:tc>
        <w:tc>
          <w:tcPr>
            <w:tcW w:w="2251" w:type="dxa"/>
            <w:gridSpan w:val="3"/>
            <w:tcBorders>
              <w:top w:val="nil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ir miesto bendruomenės kultūrinių iniciatyvų, kūrybiškumo ir kūrybinės įtraukties skatinimas</w:t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G.Kavaliauskienė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D. Petrulis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Įgyvendintų bendrų iniciatyvų skaičius</w:t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4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1 iniciatyva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Bendros iniciatyvos: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Vyko archeologijos diena muziejuje;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Renginių ciklas, skirtas karaimų metams;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Nemokamos ekskursijos ir ekspozicijų lankymas ukrainiečiams;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Bendra veikla su VŠĮ „Panevėžio lietaus vaikai“.</w:t>
            </w:r>
          </w:p>
        </w:tc>
      </w:tr>
      <w:tr>
        <w:trPr>
          <w:trHeight w:val="303" w:hRule="atLeast"/>
        </w:trPr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bidi="ar-SA"/>
              </w:rPr>
              <w:t>01</w:t>
            </w:r>
          </w:p>
        </w:tc>
        <w:tc>
          <w:tcPr>
            <w:tcW w:w="485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bidi="ar-SA"/>
              </w:rPr>
              <w:t>06</w:t>
            </w:r>
          </w:p>
        </w:tc>
        <w:tc>
          <w:tcPr>
            <w:tcW w:w="2251" w:type="dxa"/>
            <w:gridSpan w:val="3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Bendradarbiavimas su miesto ir regiono kultūros ir švietimo įstaigomis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A. Astramskas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Pasirašytų bendradarbiavimo sutarčių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4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6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2 bendradarbiavimo sutartimis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Pasirašytos sutartys su: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1. UAB „ON Media“;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2. Lietuvos moterų lygos Panevėžio skyrius;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3. VŠĮ „Panevėžio lietaus vaikai“;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4. Lietuvos bajorų karališkosios sąjungos Panevėžio apskrities skyrius;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5. Lietuvos Raudonojo Kryžiaus draugija;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6. Panevėžio miesto dailės galerija.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07</w:t>
            </w:r>
          </w:p>
        </w:tc>
        <w:tc>
          <w:tcPr>
            <w:tcW w:w="2251" w:type="dxa"/>
            <w:gridSpan w:val="3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kultūrinės veiklos plėtra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Bendras lankytojų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15 000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26 113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11 113 dalyviais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lankytojų  su bilietu skaičius – 7451;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lankytojų be bilieto skaičius  – 18662.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2251" w:type="dxa"/>
            <w:gridSpan w:val="3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Lankytojų pasitenkinimo teikiamomis paslaugomis vertinimas (anketinis)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Teigiamas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Neigiamas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Teigiamas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Teigiamas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lt-LT" w:bidi="ar-SA"/>
              </w:rPr>
              <w:t xml:space="preserve">Pasiektas </w:t>
            </w: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teigiamas vertinimas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cs="Times New Roman"/>
                <w:kern w:val="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Apklausti 210 pilnamečių lankytojų, iš jų 27% vyrai, 73% moterys. Lankytojai pagal amžiaus grupes: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9" w:right="-4" w:hanging="0"/>
              <w:jc w:val="left"/>
              <w:rPr>
                <w:rFonts w:ascii="Times New Roman" w:hAnsi="Times New Roman" w:cs="Times New Roman"/>
                <w:kern w:val="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17-20 m. - 6,5%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9" w:right="-4" w:hanging="0"/>
              <w:jc w:val="left"/>
              <w:rPr>
                <w:rFonts w:ascii="Times New Roman" w:hAnsi="Times New Roman" w:cs="Times New Roman"/>
                <w:kern w:val="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20-40 m. - 52,5%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9" w:right="-4" w:hanging="0"/>
              <w:jc w:val="left"/>
              <w:rPr>
                <w:rFonts w:ascii="Times New Roman" w:hAnsi="Times New Roman" w:cs="Times New Roman"/>
                <w:kern w:val="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40-60 m. - 20%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9" w:right="-4" w:hanging="0"/>
              <w:jc w:val="left"/>
              <w:rPr>
                <w:rFonts w:ascii="Times New Roman" w:hAnsi="Times New Roman" w:cs="Times New Roman"/>
                <w:kern w:val="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60 m. ir daugiau – 21%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cs="Times New Roman"/>
                <w:kern w:val="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Keičiasi lankytojų grupės, seniau buvo pagrindiniai muziejaus lankytojai nuo 60 m., o 2022 m. pagrindinis lankytojų amžius jaunėja.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Muziejaus patalpomis patenkinti 90,7% lankytojų;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Aptarnavimo kokybe patenkinti 95%;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Bilietų kaina patenkinti 72,2%;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eastAsia="Calibri" w:cs="Times New Roman"/>
                <w:kern w:val="0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lt-LT" w:bidi="ar-SA"/>
              </w:rPr>
              <w:t>Darbo laiku patenkinti 84,3%;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Ekspozicijomis patenkinti 83,5%; Informacine sklaida patenkinti 64%.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07</w:t>
            </w:r>
          </w:p>
        </w:tc>
        <w:tc>
          <w:tcPr>
            <w:tcW w:w="503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01</w:t>
            </w:r>
          </w:p>
        </w:tc>
        <w:tc>
          <w:tcPr>
            <w:tcW w:w="174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Plėsti ir vykdyti  edukacinę veiklą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Pravestų edukacinių programų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350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423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73 pravestomis edukacinėmis programomis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Daugiausia dalyvių sulaukusios  muziejaus  programos: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71 programa – „Saulėgrįžos ratu: Velykos“;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57 – kalėdinės programos;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Ekskursija po muziejų -  52 programos;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34 – „Žvakių magija“;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28 – „Kai gyveno karaliai“.</w:t>
            </w:r>
          </w:p>
        </w:tc>
      </w:tr>
      <w:tr>
        <w:trPr>
          <w:trHeight w:val="140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503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Edukacinių programų lankytojų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6000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7581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viršytas1581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edukacinių programų dalyvių skaičiumi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Pravesta daugiau edukacinių programų, todėl programų dalyvių buvo daug daugiau, nei planuota.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Didelis edukacinių programų temų pasirinkimas, aktyvi edukacinių  programų reklama.</w:t>
            </w:r>
          </w:p>
        </w:tc>
      </w:tr>
      <w:tr>
        <w:trPr>
          <w:trHeight w:val="303" w:hRule="atLeast"/>
        </w:trPr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07</w:t>
            </w:r>
          </w:p>
        </w:tc>
        <w:tc>
          <w:tcPr>
            <w:tcW w:w="503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02</w:t>
            </w:r>
          </w:p>
        </w:tc>
        <w:tc>
          <w:tcPr>
            <w:tcW w:w="174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Organizuoti renginius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Muziejininkai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Suorganizuotų renginių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85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149</w:t>
            </w:r>
          </w:p>
        </w:tc>
        <w:tc>
          <w:tcPr>
            <w:tcW w:w="17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 64   renginiais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Muziejuje vyko 22 renginiai: Muziejų naktis, Baltijos kelio forumas-diskusija „Karas Ukrainoje: iššūkiai pasauliui ir Lietuvai“, parodų pristatymai, susitikimai ir kiti;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Bendruomenės popietės, choro „Likimai“ repeticijos, knygų pristatymai –  84;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renginiai ne muziejuje: paskaitos,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parodų pristatymai, pranešimai – 43.</w:t>
            </w:r>
          </w:p>
        </w:tc>
      </w:tr>
      <w:tr>
        <w:trPr>
          <w:trHeight w:val="1219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503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R. Sprindienė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Renginių lankytojų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3000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5170</w:t>
            </w:r>
          </w:p>
        </w:tc>
        <w:tc>
          <w:tcPr>
            <w:tcW w:w="17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2170 dalyvavusių lankytojų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renginiuose lankėsi 3381 lankytojas;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bendruomenės užimtumo renginiuose lankėsi 1789   lankytojai.</w:t>
            </w:r>
          </w:p>
        </w:tc>
      </w:tr>
      <w:tr>
        <w:trPr/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02</w:t>
            </w:r>
          </w:p>
        </w:tc>
        <w:tc>
          <w:tcPr>
            <w:tcW w:w="4312" w:type="dxa"/>
            <w:gridSpan w:val="5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Sudaryti palankias sąlygas profesionalaus meno ir kultūros vystymui</w:t>
            </w:r>
          </w:p>
        </w:tc>
        <w:tc>
          <w:tcPr>
            <w:tcW w:w="2836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Įgyvendintų veiklų pokytis</w:t>
            </w:r>
          </w:p>
        </w:tc>
        <w:tc>
          <w:tcPr>
            <w:tcW w:w="1258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Proc.</w:t>
            </w:r>
          </w:p>
        </w:tc>
        <w:tc>
          <w:tcPr>
            <w:tcW w:w="961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-20</w:t>
            </w:r>
          </w:p>
        </w:tc>
        <w:tc>
          <w:tcPr>
            <w:tcW w:w="1021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</w:t>
            </w:r>
          </w:p>
        </w:tc>
        <w:tc>
          <w:tcPr>
            <w:tcW w:w="1754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Pokytis ne minusinis</w:t>
            </w:r>
          </w:p>
        </w:tc>
        <w:tc>
          <w:tcPr>
            <w:tcW w:w="2158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2"/>
                <w:lang w:val="lt-LT" w:bidi="ar-SA"/>
              </w:rPr>
              <w:t>2021 m. ir 2022 m. įgyvendintų veiklų skaičius vienodas</w:t>
            </w:r>
          </w:p>
        </w:tc>
      </w:tr>
      <w:tr>
        <w:trPr/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02</w:t>
            </w:r>
          </w:p>
        </w:tc>
        <w:tc>
          <w:tcPr>
            <w:tcW w:w="494" w:type="dxa"/>
            <w:gridSpan w:val="2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2242" w:type="dxa"/>
            <w:gridSpan w:val="2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lang w:eastAsia="lt-LT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Profesionalių menininkų vizualaus meno parodų muziejuje organizavimas</w:t>
            </w:r>
          </w:p>
        </w:tc>
        <w:tc>
          <w:tcPr>
            <w:tcW w:w="157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G. Baltuškienė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bCs/>
                <w:kern w:val="0"/>
                <w:sz w:val="20"/>
                <w:szCs w:val="22"/>
                <w:lang w:val="lt-LT" w:eastAsia="lt-LT" w:bidi="ar-SA"/>
              </w:rPr>
              <w:t>Parodų skaičius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Suplanuotos  ir pristatytos miesto visuomenei parodos: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„</w:t>
            </w: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Lietuva 1988-1993 m.“;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„</w:t>
            </w: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Atgimimo ąžuoliuko sodinimas. Laisvės aikštė. Panevėžys. 1989 vasario 16 d.“</w:t>
            </w:r>
          </w:p>
        </w:tc>
      </w:tr>
      <w:tr>
        <w:trPr/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94" w:type="dxa"/>
            <w:gridSpan w:val="2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2242" w:type="dxa"/>
            <w:gridSpan w:val="2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157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G. Baltuškienė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bCs/>
                <w:kern w:val="0"/>
                <w:sz w:val="20"/>
                <w:szCs w:val="22"/>
                <w:lang w:val="lt-LT" w:eastAsia="lt-LT" w:bidi="ar-SA"/>
              </w:rPr>
              <w:t>Įtrauktų menininkų skaičius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cs="Times New Roman"/>
                <w:kern w:val="0"/>
                <w:sz w:val="2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Eksponuoti R. Požerskio  ir</w:t>
            </w: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 xml:space="preserve"> </w:t>
            </w: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S. Bagdonavičiaus darbai.</w:t>
            </w:r>
          </w:p>
        </w:tc>
      </w:tr>
      <w:tr>
        <w:trPr/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cs="Times New Roman"/>
                <w:bCs/>
                <w:kern w:val="0"/>
                <w:sz w:val="20"/>
                <w:szCs w:val="22"/>
                <w:lang w:val="lt-LT" w:eastAsia="lt-LT" w:bidi="ar-SA"/>
              </w:rPr>
              <w:t>02</w:t>
            </w:r>
          </w:p>
        </w:tc>
        <w:tc>
          <w:tcPr>
            <w:tcW w:w="485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cs="Times New Roman"/>
                <w:bCs/>
                <w:kern w:val="0"/>
                <w:sz w:val="20"/>
                <w:szCs w:val="22"/>
                <w:lang w:val="lt-LT" w:eastAsia="lt-LT" w:bidi="ar-SA"/>
              </w:rPr>
              <w:t>02</w:t>
            </w:r>
          </w:p>
        </w:tc>
        <w:tc>
          <w:tcPr>
            <w:tcW w:w="2251" w:type="dxa"/>
            <w:gridSpan w:val="3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Meno kūrinių kolekcijų formavimas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J. Gaidelienė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Įsigytų meno kūrinių skaičius per metus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30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15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cs="Times New Roman"/>
                <w:kern w:val="0"/>
                <w:sz w:val="20"/>
                <w:szCs w:val="20"/>
                <w:lang w:val="lt-LT" w:bidi="ar-SA"/>
              </w:rPr>
              <w:t>Planas iš dalies įgyvendintas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Sunku planuoti tikslų skaičių, tai priklauso ir nuo dovanotų kūrinių.</w:t>
            </w:r>
          </w:p>
        </w:tc>
      </w:tr>
      <w:tr>
        <w:trPr>
          <w:trHeight w:val="1700" w:hRule="atLeast"/>
        </w:trPr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312" w:type="dxa"/>
            <w:gridSpan w:val="5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Užtikrinti muziejaus</w:t>
            </w:r>
            <w:r>
              <w:rPr>
                <w:rFonts w:eastAsia="Calibri" w:cs="Times New Roman"/>
                <w:b/>
                <w:bCs/>
                <w:color w:val="FF0000"/>
                <w:kern w:val="0"/>
                <w:sz w:val="20"/>
                <w:szCs w:val="22"/>
                <w:lang w:val="lt-LT" w:eastAsia="lt-LT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2"/>
                <w:lang w:val="lt-LT" w:eastAsia="lt-LT" w:bidi="ar-SA"/>
              </w:rPr>
              <w:t>veiklos kokybės ir paslaugų prieinamumo gerinimą</w:t>
            </w:r>
          </w:p>
        </w:tc>
        <w:tc>
          <w:tcPr>
            <w:tcW w:w="2836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teikiamų paslaugų kokybės pokytis pagal anketinį vertinimą</w:t>
            </w:r>
          </w:p>
        </w:tc>
        <w:tc>
          <w:tcPr>
            <w:tcW w:w="1258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teigiamas</w:t>
            </w:r>
          </w:p>
        </w:tc>
        <w:tc>
          <w:tcPr>
            <w:tcW w:w="961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teigiamas</w:t>
            </w:r>
          </w:p>
        </w:tc>
        <w:tc>
          <w:tcPr>
            <w:tcW w:w="1021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teigiamas</w:t>
            </w:r>
          </w:p>
        </w:tc>
        <w:tc>
          <w:tcPr>
            <w:tcW w:w="1754" w:type="dxa"/>
            <w:tcBorders>
              <w:right w:val="nil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0"/>
                <w:lang w:val="lt-LT" w:bidi="ar-SA"/>
              </w:rPr>
              <w:t xml:space="preserve">Pasiektas </w:t>
            </w: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teigiamas vertinimas</w:t>
            </w:r>
          </w:p>
        </w:tc>
        <w:tc>
          <w:tcPr>
            <w:tcW w:w="2158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sz w:val="20"/>
                <w:shd w:fill="FFFF00" w:val="clear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Apklausti 210 pilnamečiai lankytojai. 94,9% rekomenduotų aplankyti muziejų;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4" w:hanging="0"/>
              <w:jc w:val="left"/>
              <w:rPr>
                <w:rFonts w:ascii="Times New Roman" w:hAnsi="Times New Roman" w:cs="Times New Roman"/>
                <w:kern w:val="0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5,1 % galbūt rekomenduotų;   nerekomenduotų  0%</w:t>
            </w:r>
          </w:p>
        </w:tc>
      </w:tr>
      <w:tr>
        <w:trPr/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2242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Muziejaus veiklos modernizavimas (aktualinimas), siekiant didesnės gyventojų įtraukties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A. Astramskas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J. Gaidelienė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Įgyvendintų veiklų pokytis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Proc.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7,6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46,1</w:t>
            </w:r>
          </w:p>
        </w:tc>
        <w:tc>
          <w:tcPr>
            <w:tcW w:w="175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Planas viršytas</w:t>
            </w:r>
          </w:p>
        </w:tc>
        <w:tc>
          <w:tcPr>
            <w:tcW w:w="21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Išaugęs kultūros paso  edukacinių programų skaičius.</w:t>
            </w:r>
          </w:p>
        </w:tc>
      </w:tr>
      <w:tr>
        <w:trPr>
          <w:trHeight w:val="2080" w:hRule="atLeast"/>
        </w:trPr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9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01</w:t>
            </w:r>
          </w:p>
        </w:tc>
        <w:tc>
          <w:tcPr>
            <w:tcW w:w="174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FF000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Rengti muziejinio profilio edukacines programas jaunimui ir miesto bendruomenei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Naujų parengtų ar atnaujintų edukacinių programų skaičius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Parengta edukacinė programa  „Perskaitęs duok kitam“, skirta Lietuvos  katalikų bažnyčios kronikos 50-mečiui, vyko programos pristatymas mokytojams,  deja pasisekimo programa nesulaukė</w:t>
            </w:r>
          </w:p>
        </w:tc>
      </w:tr>
      <w:tr>
        <w:trPr/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94" w:type="dxa"/>
            <w:gridSpan w:val="2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L. Bekerė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G. Baltuškienė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Patvirtintų kultūros paso edukacinių programų skaičius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6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18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viršytas 12 programų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Patvirtintos programos: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1. „Nuo krašto ir raštas“;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2. „Pasmerktieji negrįžti“;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3. „Laisvės gynėjai ir puoselėtojai“;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4. „Kai gyveno karaliai“;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5. „Saulėgrįžos ratu: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Vėlinės“;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6. „Aukštaičių rateliai ir žaidimai“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7. „Drugelio kelionė po pasaulį“;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8. „Akmens amžiaus detektyvas“;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9. Ekskursija po muziejų;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10. „Kaip virtinis ant stalo atsirado“,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11. „Žvakių magija“;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12. „Bitelės istorija“;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13. „Vienu balsu“;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14. „Kaip augalai pasaulį užkariavo“;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15. „Siūlai, siūlai susivykit“;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16. „Nuo piemenėlio iki muzikontėlio“;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trike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17. „Perku-parduodu-dykai atiduodu“;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18. Žydų istorija Panevėžyje“.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Per metus pravesta 92 programos, pasinaudojus kultūros pasu.</w:t>
            </w:r>
          </w:p>
        </w:tc>
      </w:tr>
      <w:tr>
        <w:trPr/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94" w:type="dxa"/>
            <w:gridSpan w:val="2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Programų dalyvių skaičiaus pokytis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Proc.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48,1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87,1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0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Edukacinių programų 2021 m. dalyvių skaičius buvo 4050, planuota 2022 m. – 6000,  o dalyvavo 7581dalyvių edukacinėse programose.  Pamažu pradėjo keistis programų dalyvių amžius, padaugėjo dalyvaujančių suaugusiųjų, patvirtinta daug programų, kurias galima lankyti su kultūros pasu.</w:t>
            </w:r>
          </w:p>
        </w:tc>
      </w:tr>
      <w:tr>
        <w:trPr/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9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02</w:t>
            </w:r>
          </w:p>
        </w:tc>
        <w:tc>
          <w:tcPr>
            <w:tcW w:w="174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Organizuoti naujų formų renginius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V. Venckuvienė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Naujų formų kultūros renginių skaičius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Organizuota „GEK diena muziejuje“, kurios metu lankytojams pristatomi ypatingai vertingi eksponatai, kurie nėra rodomi ekspozicijose.</w:t>
            </w:r>
          </w:p>
        </w:tc>
      </w:tr>
      <w:tr>
        <w:trPr>
          <w:trHeight w:val="566" w:hRule="atLeast"/>
        </w:trPr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94" w:type="dxa"/>
            <w:gridSpan w:val="2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L. Vilienė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Reprezentacinių parodų skaičius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Surengta paroda „Juostų pynimo tradicija: žmonės ir spalvos“, parodoje  eksponuojami mūsų muziejaus ir Lietuvos  nacionalinio  muziejaus  saugomos juostos.</w:t>
            </w:r>
          </w:p>
        </w:tc>
      </w:tr>
      <w:tr>
        <w:trPr/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94" w:type="dxa"/>
            <w:gridSpan w:val="2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</w:r>
          </w:p>
        </w:tc>
        <w:tc>
          <w:tcPr>
            <w:tcW w:w="4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Muziejininkai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Kitų parodų (kilnojamųjų, virtualių ir kitų) skaičius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22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22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Parengtos ir eksponuotos 9 virtualios parodos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(iš jų pirmosios 6 – tarptautinės):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1. „Industrializacija“;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2. „Meilė“;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3. „Moteris mene“;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4. „Saulė, mėnulis; žvaigždės“;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5. „Bendravimas“;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6. „Joninių tradicijos“;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7. „O. Maksimaitienę prisimenant“;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8. „Krepšinis: vakar, šiandien, rytoj“;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9. „Pasakojimai iš praeities“.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9 parodos veikė muziejaus parodų ir ekspozicijų salėje: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1. „Lietuva 1988-1993“;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2. „Atminimo ąžuoliuko sodinimas“;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3. „Perskaitęs duok kitam“;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4. „Liudyti tautai ir valstybei“;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5. „Nepažinta Lietuvos karaimų istorija“;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6. „Juostų pynimo tradicija: žmonės ir spalvos“;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7. „Aš ir mano Lietuva“;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8. „Atsinaujinantis Panevėžys“;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9. „Maldos namai ekslibrisuose“.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3 parodos eksponuotos kitur (Vilniuje, Šiauliuose, Kupiškyje):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1. „Perskaitęs duok kitam“;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2. „Pašnekesiai su         V. Firinausku“;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3. „Juostų pynimo tradicija: žmonės ir spalvos“.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 lauko paroda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„</w:t>
            </w: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Panevėžio gatvės: žmonės, įvykiai, vaizdai“.</w:t>
            </w:r>
          </w:p>
        </w:tc>
      </w:tr>
      <w:tr>
        <w:trPr/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03</w:t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Organizuoti tarptautiškumą stiprinančias veiklas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cs="Times New Roman"/>
                <w:kern w:val="0"/>
                <w:sz w:val="20"/>
                <w:szCs w:val="22"/>
                <w:lang w:val="lt-LT" w:bidi="ar-SA"/>
              </w:rPr>
              <w:t>A. Šablinskienė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Įvykusių tarptautinių renginių skaičius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įgyvendintas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0"/>
                <w:szCs w:val="20"/>
                <w:shd w:fill="FFFFFF" w:val="clear"/>
                <w:lang w:val="lt-LT" w:eastAsia="lt-LT" w:bidi="lo-LA"/>
              </w:rPr>
              <w:t xml:space="preserve">Rugsėjo mėn. įvyko mokymai muziejininkams ir projekto partneriams iš Latvijos pagal ES projektą </w:t>
            </w:r>
            <w:r>
              <w:rPr>
                <w:rFonts w:eastAsia="Times New Roman" w:cs="Times New Roman"/>
                <w:color w:val="auto"/>
                <w:spacing w:val="4"/>
                <w:kern w:val="0"/>
                <w:sz w:val="20"/>
                <w:szCs w:val="20"/>
                <w:lang w:val="lt-LT" w:eastAsia="lt-LT" w:bidi="ar-SA"/>
              </w:rPr>
              <w:t>„</w:t>
            </w:r>
            <w:r>
              <w:rPr>
                <w:rFonts w:eastAsia="Times New Roman" w:cs="Times New Roman"/>
                <w:bCs/>
                <w:color w:val="auto"/>
                <w:spacing w:val="4"/>
                <w:kern w:val="0"/>
                <w:sz w:val="20"/>
                <w:szCs w:val="20"/>
                <w:lang w:val="lt-LT" w:eastAsia="lt-LT" w:bidi="ar-SA"/>
              </w:rPr>
              <w:t>Istorinio ir kultūrinio tarpvalstybinio paveldo populiarinimas pasitelkiant muziejų naujoves“ tema „Modernus muziejus: iššūkiai ir galimybės“.</w:t>
            </w:r>
          </w:p>
        </w:tc>
      </w:tr>
      <w:tr>
        <w:trPr/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02</w:t>
            </w:r>
          </w:p>
        </w:tc>
        <w:tc>
          <w:tcPr>
            <w:tcW w:w="2242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Muziejaus specialistų kompetencijų ir kvalifikacijos kėlimas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Muziejaus administracija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Kvalifikaciją kėlusių specialistų per metus dalis nuo visų specialistų skaičiaus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Proc.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50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93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Planas viršytas  43 proc.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Kvalifikacijos kėlimo renginiai – 64 (seminarai, mokymai, konferencijos, stažuotė ir kt.). Juose kvalifikaciją kėlė 27 specialistai iš 29, turėjusių ją kelti.</w:t>
            </w:r>
          </w:p>
        </w:tc>
      </w:tr>
      <w:tr>
        <w:trPr/>
        <w:tc>
          <w:tcPr>
            <w:tcW w:w="468" w:type="dxa"/>
            <w:tcBorders>
              <w:top w:val="nil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>
              <w:top w:val="nil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2242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Kultūrinių paslaugų ir muziejaus veiklos skaitmenizavimas</w:t>
            </w:r>
          </w:p>
        </w:tc>
        <w:tc>
          <w:tcPr>
            <w:tcW w:w="15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J. Gaidelienė</w:t>
            </w:r>
          </w:p>
        </w:tc>
        <w:tc>
          <w:tcPr>
            <w:tcW w:w="283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Suskaitmenintų kultūros paveldo objektų  pokytis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proc.</w:t>
            </w:r>
          </w:p>
        </w:tc>
        <w:tc>
          <w:tcPr>
            <w:tcW w:w="9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-7,8</w:t>
            </w:r>
          </w:p>
        </w:tc>
        <w:tc>
          <w:tcPr>
            <w:tcW w:w="10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141,4</w:t>
            </w:r>
          </w:p>
        </w:tc>
        <w:tc>
          <w:tcPr>
            <w:tcW w:w="175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auto"/>
                <w:kern w:val="0"/>
                <w:szCs w:val="22"/>
                <w:lang w:val="lt-LT" w:bidi="ar-SA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2"/>
                <w:lang w:val="lt-LT" w:bidi="ar-SA"/>
              </w:rPr>
              <w:t>Planas viršytas</w:t>
            </w:r>
          </w:p>
        </w:tc>
        <w:tc>
          <w:tcPr>
            <w:tcW w:w="215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auto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color w:val="auto"/>
                <w:kern w:val="0"/>
                <w:sz w:val="20"/>
                <w:szCs w:val="22"/>
                <w:lang w:val="lt-LT" w:bidi="ar-SA"/>
              </w:rPr>
              <w:t>Negavus lėšų kai kuriems  projektams, darbuotojai  dėmesį skyrė skaitmeninimui ir dėl to pasiektas šis rezultatas.</w:t>
            </w:r>
          </w:p>
        </w:tc>
      </w:tr>
      <w:tr>
        <w:trPr/>
        <w:tc>
          <w:tcPr>
            <w:tcW w:w="468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vMerge w:val="restart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9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01</w:t>
            </w:r>
          </w:p>
        </w:tc>
        <w:tc>
          <w:tcPr>
            <w:tcW w:w="174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Skaitmeninti dokumentus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J. Gaidelienė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E. Jocius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Suskaitmenintų dokumentų skaičius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550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2097</w:t>
            </w:r>
          </w:p>
        </w:tc>
        <w:tc>
          <w:tcPr>
            <w:tcW w:w="17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viršytas 1547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suskaitmenintų dokumentų ir eksponatų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LIMIS sistemai suskaitmeninta 635 vnt. eksponatų, 1462 vnt. suskaitmeninta muziejaus archyvui.</w:t>
            </w:r>
          </w:p>
        </w:tc>
      </w:tr>
      <w:tr>
        <w:trPr/>
        <w:tc>
          <w:tcPr>
            <w:tcW w:w="46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85" w:type="dxa"/>
            <w:vMerge w:val="continue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94" w:type="dxa"/>
            <w:gridSpan w:val="2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bCs/>
                <w:sz w:val="20"/>
                <w:lang w:eastAsia="lt-LT"/>
              </w:rPr>
            </w:r>
          </w:p>
        </w:tc>
        <w:tc>
          <w:tcPr>
            <w:tcW w:w="4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J. Gaidelienė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Paskelbtų suskaitmenintų dokumentų ir nuotraukų skaičius  per metus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500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635</w:t>
            </w:r>
          </w:p>
        </w:tc>
        <w:tc>
          <w:tcPr>
            <w:tcW w:w="17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viršytas 135 vnt.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LIMIS sistemoje paskelbta muziejaus suskaitmenintų eksponatų – 585 vnt.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lt-LT" w:bidi="ar-SA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suskaitmenintų vaizdų – 50 vnt.</w:t>
            </w:r>
          </w:p>
        </w:tc>
      </w:tr>
      <w:tr>
        <w:trPr/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02</w:t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Skaitmeninti kultūros produktus (renginius, edukacines programas ir kt.)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R. Jasiūnienė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Suskaitmenintų kultūros produktų skaičius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10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MS Mincho" w:cs="Times New Roman"/>
                <w:color w:val="000000"/>
                <w:kern w:val="0"/>
                <w:sz w:val="20"/>
                <w:szCs w:val="22"/>
                <w:lang w:val="lt-LT" w:bidi="ar-SA"/>
              </w:rPr>
              <w:t>18</w:t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viršytas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8  suskaitmenintais kultūros produktais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Muziejaus svetainėje paskelbta  parengtų parodų – 10 vnt.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Etnografinių siužetų – 8 vnt.</w:t>
            </w:r>
          </w:p>
        </w:tc>
      </w:tr>
      <w:tr>
        <w:trPr/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85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03</w:t>
            </w:r>
          </w:p>
        </w:tc>
        <w:tc>
          <w:tcPr>
            <w:tcW w:w="494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eastAsia="lt-LT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2"/>
                <w:lang w:val="lt-LT" w:eastAsia="lt-LT" w:bidi="ar-SA"/>
              </w:rPr>
              <w:t>01</w:t>
            </w:r>
          </w:p>
        </w:tc>
        <w:tc>
          <w:tcPr>
            <w:tcW w:w="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03</w:t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Atnaujinti muziejaus svetainės informaciją</w:t>
            </w:r>
          </w:p>
        </w:tc>
        <w:tc>
          <w:tcPr>
            <w:tcW w:w="15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R. Jasiūnienė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Cs w:val="22"/>
                <w:lang w:val="lt-LT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Muziejaus svetainės peržiūrų skaičius</w:t>
            </w:r>
          </w:p>
        </w:tc>
        <w:tc>
          <w:tcPr>
            <w:tcW w:w="12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Vnt.</w:t>
            </w:r>
          </w:p>
        </w:tc>
        <w:tc>
          <w:tcPr>
            <w:tcW w:w="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lt-LT" w:bidi="ar-SA"/>
              </w:rPr>
              <w:t>10100</w:t>
            </w:r>
          </w:p>
        </w:tc>
        <w:tc>
          <w:tcPr>
            <w:tcW w:w="1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val="lt-LT" w:bidi="ar-SA"/>
              </w:rPr>
              <w:t>12 233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</w:rPr>
            </w:r>
          </w:p>
        </w:tc>
        <w:tc>
          <w:tcPr>
            <w:tcW w:w="1754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Planas viršytas 2133 peržiūromis</w:t>
            </w:r>
          </w:p>
        </w:tc>
        <w:tc>
          <w:tcPr>
            <w:tcW w:w="215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Lankytojų skaičius padidėjo dėl greitos  informacijos pateikimo,  naujų virtualių parodų. Atsirado 82,8 % naujų svetainės vartotojų;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20"/>
              </w:rPr>
            </w:pPr>
            <w:r>
              <w:rPr>
                <w:rFonts w:eastAsia="MS Mincho" w:cs="Times New Roman"/>
                <w:kern w:val="0"/>
                <w:sz w:val="20"/>
                <w:szCs w:val="22"/>
                <w:lang w:val="lt-LT" w:bidi="ar-SA"/>
              </w:rPr>
              <w:t>17,2% - seni svetainės vartotojai.</w:t>
            </w:r>
          </w:p>
        </w:tc>
      </w:tr>
    </w:tbl>
    <w:p>
      <w:pPr>
        <w:pStyle w:val="Normal"/>
        <w:rPr>
          <w:rFonts w:eastAsia="Times New Roman"/>
          <w:b/>
          <w:b/>
          <w:szCs w:val="24"/>
        </w:rPr>
      </w:pPr>
      <w:r>
        <w:rPr>
          <w:rFonts w:eastAsia="Times New Roman"/>
          <w:b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  <w:t>FINANSAVIMO ŠALTINIŲ SUVESTINĖ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>Tūkst. Eur</w:t>
      </w:r>
    </w:p>
    <w:tbl>
      <w:tblPr>
        <w:tblW w:w="13179" w:type="dxa"/>
        <w:jc w:val="center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86"/>
        <w:gridCol w:w="2977"/>
        <w:gridCol w:w="3016"/>
      </w:tblGrid>
      <w:tr>
        <w:trPr>
          <w:trHeight w:val="912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 metų asignavimų planas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(įskaitant patikslinimus)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 metais panaudoti asignavimai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(kasinės išlaidos)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IŠ VISO LĖŠŲ: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742,5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675,0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1.1. Išlaidoms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Cs w:val="24"/>
                <w:lang w:eastAsia="lt-LT"/>
              </w:rPr>
              <w:t xml:space="preserve">               </w:t>
            </w:r>
            <w:r>
              <w:rPr>
                <w:bCs/>
                <w:szCs w:val="24"/>
                <w:lang w:eastAsia="lt-LT"/>
              </w:rPr>
              <w:t>iš jų darbo užmokesčiui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524,7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524,7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 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742,5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675,0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 Savivaldybės biudžetas, iš jo: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665,0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662,2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2.1.1. Savivaldybės biudžeto lėšos (SB)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646,4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643,6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Cs w:val="24"/>
                <w:lang w:eastAsia="lt-LT"/>
              </w:rPr>
              <w:t xml:space="preserve">2.1.2. </w:t>
            </w:r>
            <w:r>
              <w:rPr/>
              <w:t>Valstybės biudžeto specialiosios tikslinės dotacijos lėšos valstybės funkcijoms atlikti (VBSF)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8,7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8,7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2.1.3. Valstybės biudžeto specialiosios tikslinės dotacijos lėšos regioninėms įstaigoms ir klasėms finansuoti (VBSR)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2.1.4. Įstaigų pajamos už paslaugas (SP)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9,9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9,9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2.1.5. Valstybės biudžeto lėšos (VB)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2.1.6. Paskolos lėšos (P)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2.1.7. Europos Sąjungos struktūrinių fondų lėšos (ES)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 Kiti šaltiniai, iš viso: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77,5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12,8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 Gyventojų pajamų mokestis (GPM)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0,1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 Rėmėjų lėšos (RL)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0,4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>
            <w:pPr>
              <w:pStyle w:val="Normal"/>
              <w:widowControl w:val="fals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77,0</w:t>
            </w:r>
          </w:p>
        </w:tc>
        <w:tc>
          <w:tcPr>
            <w:tcW w:w="30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11,8</w:t>
            </w:r>
          </w:p>
        </w:tc>
      </w:tr>
    </w:tbl>
    <w:p>
      <w:pPr>
        <w:pStyle w:val="Normal"/>
        <w:jc w:val="both"/>
        <w:rPr>
          <w:rFonts w:eastAsia="Times New Roman"/>
          <w:b/>
          <w:b/>
          <w:szCs w:val="24"/>
        </w:rPr>
      </w:pPr>
      <w:r>
        <w:rPr/>
      </w:r>
    </w:p>
    <w:sectPr>
      <w:headerReference w:type="default" r:id="rId4"/>
      <w:type w:val="nextPage"/>
      <w:pgSz w:orient="landscape" w:w="16838" w:h="11906"/>
      <w:pgMar w:left="1134" w:right="822" w:gutter="0" w:header="567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Cambria">
    <w:charset w:val="ba"/>
    <w:family w:val="roman"/>
    <w:pitch w:val="variable"/>
  </w:font>
  <w:font w:name="TimesLT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ahoma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78735985"/>
    </w:sdtPr>
    <w:sdtContent>
      <w:p>
        <w:pPr>
          <w:pStyle w:val="Antrats1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2"/>
  </w:compat>
  <w:hyphenationZone w:val="396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b0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1Diagrama" w:customStyle="1">
    <w:name w:val="Antraštė 1 Diagrama"/>
    <w:basedOn w:val="DefaultParagraphFont"/>
    <w:link w:val="Antrat11"/>
    <w:uiPriority w:val="99"/>
    <w:qFormat/>
    <w:locked/>
    <w:rsid w:val="00043b8f"/>
    <w:rPr>
      <w:rFonts w:eastAsia="Times New Roman" w:cs="Times New Roman"/>
      <w:b/>
      <w:kern w:val="2"/>
      <w:sz w:val="32"/>
      <w:lang w:eastAsia="en-US"/>
    </w:rPr>
  </w:style>
  <w:style w:type="character" w:styleId="DebesliotekstasDiagrama" w:customStyle="1">
    <w:name w:val="Debesėlio tekstas Diagrama"/>
    <w:basedOn w:val="DefaultParagraphFont"/>
    <w:link w:val="BalloonText"/>
    <w:uiPriority w:val="99"/>
    <w:semiHidden/>
    <w:qFormat/>
    <w:locked/>
    <w:rsid w:val="004807fc"/>
    <w:rPr>
      <w:rFonts w:ascii="Segoe UI" w:hAnsi="Segoe UI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qFormat/>
    <w:rsid w:val="00442ec1"/>
    <w:rPr>
      <w:rFonts w:cs="Times New Roman"/>
      <w:color w:val="808080"/>
    </w:rPr>
  </w:style>
  <w:style w:type="character" w:styleId="Style14" w:customStyle="1">
    <w:name w:val="Style1"/>
    <w:uiPriority w:val="99"/>
    <w:qFormat/>
    <w:rsid w:val="00442ec1"/>
    <w:rPr>
      <w:rFonts w:ascii="Times New Roman" w:hAnsi="Times New Roman"/>
      <w:color w:val="00000A"/>
      <w:sz w:val="24"/>
    </w:rPr>
  </w:style>
  <w:style w:type="character" w:styleId="Style21" w:customStyle="1">
    <w:name w:val="Style2"/>
    <w:uiPriority w:val="99"/>
    <w:qFormat/>
    <w:rsid w:val="00442ec1"/>
    <w:rPr>
      <w:rFonts w:ascii="Times New Roman" w:hAnsi="Times New Roman"/>
      <w:sz w:val="24"/>
    </w:rPr>
  </w:style>
  <w:style w:type="character" w:styleId="Style31" w:customStyle="1">
    <w:name w:val="Style3"/>
    <w:uiPriority w:val="99"/>
    <w:qFormat/>
    <w:rsid w:val="00442ec1"/>
    <w:rPr>
      <w:rFonts w:ascii="Times New Roman" w:hAnsi="Times New Roman"/>
      <w:sz w:val="24"/>
    </w:rPr>
  </w:style>
  <w:style w:type="character" w:styleId="Style41" w:customStyle="1">
    <w:name w:val="Style4"/>
    <w:uiPriority w:val="99"/>
    <w:qFormat/>
    <w:rsid w:val="00853186"/>
    <w:rPr>
      <w:rFonts w:ascii="Times New Roman" w:hAnsi="Times New Roman"/>
      <w:sz w:val="24"/>
    </w:rPr>
  </w:style>
  <w:style w:type="character" w:styleId="AntratDiagrama" w:customStyle="1">
    <w:name w:val="Antraštė Diagrama"/>
    <w:basedOn w:val="DefaultParagraphFont"/>
    <w:link w:val="Caption"/>
    <w:uiPriority w:val="99"/>
    <w:qFormat/>
    <w:locked/>
    <w:rsid w:val="00ce5ee8"/>
    <w:rPr>
      <w:rFonts w:ascii="Cambria" w:hAnsi="Cambria" w:cs="Times New Roman"/>
      <w:b/>
      <w:kern w:val="2"/>
      <w:sz w:val="32"/>
      <w:lang w:eastAsia="en-US"/>
    </w:rPr>
  </w:style>
  <w:style w:type="character" w:styleId="HeaderChar" w:customStyle="1">
    <w:name w:val="Header Char"/>
    <w:basedOn w:val="DefaultParagraphFont"/>
    <w:qFormat/>
    <w:locked/>
    <w:rsid w:val="00ce5ee8"/>
    <w:rPr>
      <w:rFonts w:cs="Times New Roman"/>
      <w:sz w:val="24"/>
      <w:lang w:eastAsia="en-US"/>
    </w:rPr>
  </w:style>
  <w:style w:type="character" w:styleId="AntratsDiagrama" w:customStyle="1">
    <w:name w:val="Antraštės Diagrama"/>
    <w:link w:val="Antrats1"/>
    <w:uiPriority w:val="99"/>
    <w:qFormat/>
    <w:locked/>
    <w:rsid w:val="001b60b8"/>
    <w:rPr>
      <w:sz w:val="24"/>
      <w:lang w:val="lt-LT" w:eastAsia="lt-LT"/>
    </w:rPr>
  </w:style>
  <w:style w:type="character" w:styleId="PagrindinistekstasDiagrama" w:customStyle="1">
    <w:name w:val="Pagrindinis tekstas Diagrama"/>
    <w:basedOn w:val="DefaultParagraphFont"/>
    <w:qFormat/>
    <w:rsid w:val="00f01358"/>
    <w:rPr>
      <w:rFonts w:ascii="TimesLT" w:hAnsi="TimesLT" w:eastAsia="Times New Roman"/>
      <w:szCs w:val="20"/>
      <w:lang w:eastAsia="en-US"/>
    </w:rPr>
  </w:style>
  <w:style w:type="character" w:styleId="Antrat5Diagrama" w:customStyle="1">
    <w:name w:val="Antraštė 5 Diagrama"/>
    <w:basedOn w:val="DefaultParagraphFont"/>
    <w:link w:val="Antrat51"/>
    <w:semiHidden/>
    <w:qFormat/>
    <w:rsid w:val="003d017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lang w:eastAsia="en-US"/>
    </w:rPr>
  </w:style>
  <w:style w:type="character" w:styleId="PoratDiagrama" w:customStyle="1">
    <w:name w:val="Poraštė Diagrama"/>
    <w:basedOn w:val="DefaultParagraphFont"/>
    <w:link w:val="Porat1"/>
    <w:uiPriority w:val="99"/>
    <w:qFormat/>
    <w:rsid w:val="003d017e"/>
    <w:rPr>
      <w:rFonts w:eastAsia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qFormat/>
    <w:rsid w:val="003d017e"/>
    <w:rPr/>
  </w:style>
  <w:style w:type="character" w:styleId="Strong">
    <w:name w:val="Strong"/>
    <w:basedOn w:val="DefaultParagraphFont"/>
    <w:uiPriority w:val="99"/>
    <w:qFormat/>
    <w:locked/>
    <w:rsid w:val="003d017e"/>
    <w:rPr>
      <w:b/>
      <w:bCs/>
    </w:rPr>
  </w:style>
  <w:style w:type="character" w:styleId="AntratsDiagrama1" w:customStyle="1">
    <w:name w:val="Antraštės Diagrama1"/>
    <w:basedOn w:val="DefaultParagraphFont"/>
    <w:link w:val="Antrats3"/>
    <w:uiPriority w:val="99"/>
    <w:qFormat/>
    <w:rsid w:val="008a0629"/>
    <w:rPr>
      <w:color w:val="00000A"/>
      <w:sz w:val="24"/>
      <w:lang w:eastAsia="en-US"/>
    </w:rPr>
  </w:style>
  <w:style w:type="character" w:styleId="PoratDiagrama1" w:customStyle="1">
    <w:name w:val="Poraštė Diagrama1"/>
    <w:basedOn w:val="DefaultParagraphFont"/>
    <w:link w:val="Porat2"/>
    <w:uiPriority w:val="99"/>
    <w:qFormat/>
    <w:rsid w:val="008a0629"/>
    <w:rPr>
      <w:color w:val="00000A"/>
      <w:sz w:val="24"/>
      <w:lang w:eastAsia="en-US"/>
    </w:rPr>
  </w:style>
  <w:style w:type="character" w:styleId="Internetosaitas" w:customStyle="1">
    <w:name w:val="Interneto saitas"/>
    <w:basedOn w:val="DefaultParagraphFont"/>
    <w:rsid w:val="00037065"/>
    <w:rPr>
      <w:color w:val="0000FF" w:themeColor="hyperlink"/>
      <w:u w:val="single"/>
    </w:rPr>
  </w:style>
  <w:style w:type="character" w:styleId="Antrat2Diagrama" w:customStyle="1">
    <w:name w:val="Antraštė 2 Diagrama"/>
    <w:basedOn w:val="DefaultParagraphFont"/>
    <w:link w:val="Antrat21"/>
    <w:qFormat/>
    <w:rsid w:val="00787c6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KomentarotemaDiagrama" w:customStyle="1">
    <w:name w:val="Komentaro tema Diagrama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KomentarotekstasDiagrama" w:customStyle="1">
    <w:name w:val="Komentaro tekstas Diagrama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c6f54"/>
    <w:rPr>
      <w:color w:val="605E5C"/>
      <w:shd w:fill="E1DFDD" w:val="clear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link w:val="PagrindinistekstasDiagrama"/>
    <w:rsid w:val="00f01358"/>
    <w:pPr/>
    <w:rPr>
      <w:rFonts w:ascii="TimesLT" w:hAnsi="TimesLT" w:eastAsia="Times New Roman"/>
      <w:sz w:val="22"/>
      <w:szCs w:val="20"/>
    </w:rPr>
  </w:style>
  <w:style w:type="paragraph" w:styleId="Sraas">
    <w:name w:val="List"/>
    <w:basedOn w:val="Pagrindinistekstas"/>
    <w:rsid w:val="00170b75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 w:customStyle="1">
    <w:name w:val="Rodyklė"/>
    <w:basedOn w:val="Normal"/>
    <w:qFormat/>
    <w:rsid w:val="00170b75"/>
    <w:pPr>
      <w:suppressLineNumbers/>
    </w:pPr>
    <w:rPr>
      <w:rFonts w:cs="Arial"/>
    </w:rPr>
  </w:style>
  <w:style w:type="paragraph" w:styleId="Caption">
    <w:name w:val="caption"/>
    <w:basedOn w:val="Normal"/>
    <w:next w:val="Pagrindinistekstas"/>
    <w:link w:val="AntratDiagrama"/>
    <w:qFormat/>
    <w:rsid w:val="00170b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Antrat21" w:customStyle="1">
    <w:name w:val="Antraštė 21"/>
    <w:basedOn w:val="Normal"/>
    <w:link w:val="Antrat2Diagrama"/>
    <w:qFormat/>
    <w:pPr>
      <w:keepNext w:val="true"/>
      <w:keepLines/>
      <w:spacing w:before="200" w:after="0"/>
    </w:pPr>
    <w:rPr>
      <w:rFonts w:ascii="Cambria" w:hAnsi="Cambria" w:cs="Cambria"/>
      <w:b/>
      <w:bCs/>
      <w:color w:val="4F81BD"/>
      <w:sz w:val="26"/>
      <w:szCs w:val="26"/>
      <w:lang w:eastAsia="lt-LT"/>
    </w:rPr>
  </w:style>
  <w:style w:type="paragraph" w:styleId="Antrat1" w:customStyle="1">
    <w:name w:val="Antraštė1"/>
    <w:basedOn w:val="Normal"/>
    <w:qFormat/>
    <w:rsid w:val="00170b75"/>
    <w:pPr>
      <w:suppressLineNumbers/>
      <w:spacing w:before="120" w:after="120"/>
    </w:pPr>
    <w:rPr>
      <w:rFonts w:cs="Arial"/>
      <w:i/>
      <w:iCs/>
      <w:szCs w:val="24"/>
    </w:rPr>
  </w:style>
  <w:style w:type="paragraph" w:styleId="Antrat11" w:customStyle="1">
    <w:name w:val="Antraštė 11"/>
    <w:basedOn w:val="Normal"/>
    <w:link w:val="Antrat1Diagrama"/>
    <w:autoRedefine/>
    <w:uiPriority w:val="99"/>
    <w:qFormat/>
    <w:locked/>
    <w:rsid w:val="00043b8f"/>
    <w:pPr>
      <w:keepNext w:val="true"/>
      <w:jc w:val="center"/>
      <w:outlineLvl w:val="0"/>
    </w:pPr>
    <w:rPr>
      <w:rFonts w:eastAsia="Times New Roman"/>
      <w:b/>
      <w:bCs/>
      <w:kern w:val="2"/>
      <w:szCs w:val="32"/>
    </w:rPr>
  </w:style>
  <w:style w:type="paragraph" w:styleId="Antrat51" w:customStyle="1">
    <w:name w:val="Antraštė 51"/>
    <w:basedOn w:val="Normal"/>
    <w:link w:val="Antrat5Diagrama"/>
    <w:semiHidden/>
    <w:unhideWhenUsed/>
    <w:qFormat/>
    <w:locked/>
    <w:rsid w:val="003d017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BalloonText">
    <w:name w:val="Balloon Text"/>
    <w:basedOn w:val="Normal"/>
    <w:link w:val="DebesliotekstasDiagrama"/>
    <w:uiPriority w:val="99"/>
    <w:semiHidden/>
    <w:qFormat/>
    <w:rsid w:val="004807fc"/>
    <w:pPr/>
    <w:rPr>
      <w:rFonts w:ascii="Segoe UI" w:hAnsi="Segoe UI"/>
      <w:sz w:val="18"/>
      <w:szCs w:val="18"/>
      <w:lang w:eastAsia="lt-LT"/>
    </w:rPr>
  </w:style>
  <w:style w:type="paragraph" w:styleId="Dokumentopavadinimas">
    <w:name w:val="Title"/>
    <w:basedOn w:val="Normal"/>
    <w:uiPriority w:val="99"/>
    <w:qFormat/>
    <w:locked/>
    <w:rsid w:val="001b60b8"/>
    <w:pPr>
      <w:spacing w:beforeAutospacing="1" w:afterAutospacing="1"/>
    </w:pPr>
    <w:rPr>
      <w:rFonts w:ascii="Cambria" w:hAnsi="Cambria"/>
      <w:b/>
      <w:bCs/>
      <w:kern w:val="2"/>
      <w:sz w:val="32"/>
      <w:szCs w:val="32"/>
    </w:rPr>
  </w:style>
  <w:style w:type="paragraph" w:styleId="Antrats1" w:customStyle="1">
    <w:name w:val="Antraštės1"/>
    <w:basedOn w:val="Normal"/>
    <w:link w:val="AntratsDiagrama"/>
    <w:uiPriority w:val="99"/>
    <w:qFormat/>
    <w:rsid w:val="001b60b8"/>
    <w:pPr>
      <w:tabs>
        <w:tab w:val="clear" w:pos="1296"/>
        <w:tab w:val="center" w:pos="4819" w:leader="none"/>
        <w:tab w:val="right" w:pos="9638" w:leader="none"/>
      </w:tabs>
    </w:pPr>
    <w:rPr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4e68cf"/>
    <w:pPr>
      <w:spacing w:before="0" w:after="0"/>
      <w:ind w:left="720" w:hanging="0"/>
      <w:contextualSpacing/>
    </w:pPr>
    <w:rPr/>
  </w:style>
  <w:style w:type="paragraph" w:styleId="Porat1" w:customStyle="1">
    <w:name w:val="Poraštė1"/>
    <w:basedOn w:val="Normal"/>
    <w:link w:val="PoratDiagrama"/>
    <w:uiPriority w:val="99"/>
    <w:qFormat/>
    <w:rsid w:val="003d017e"/>
    <w:pPr>
      <w:tabs>
        <w:tab w:val="clear" w:pos="1296"/>
        <w:tab w:val="center" w:pos="4320" w:leader="none"/>
        <w:tab w:val="right" w:pos="8640" w:leader="none"/>
      </w:tabs>
    </w:pPr>
    <w:rPr>
      <w:rFonts w:eastAsia="Times New Roman"/>
      <w:sz w:val="20"/>
      <w:szCs w:val="20"/>
    </w:rPr>
  </w:style>
  <w:style w:type="paragraph" w:styleId="Lentelsturinys" w:customStyle="1">
    <w:name w:val="Lentelės turinys"/>
    <w:basedOn w:val="Normal"/>
    <w:qFormat/>
    <w:rsid w:val="00170b75"/>
    <w:pPr/>
    <w:rPr/>
  </w:style>
  <w:style w:type="paragraph" w:styleId="Lentelsantrat" w:customStyle="1">
    <w:name w:val="Lentelės antraštė"/>
    <w:basedOn w:val="Lentelsturinys"/>
    <w:qFormat/>
    <w:rsid w:val="00170b75"/>
    <w:pPr/>
    <w:rPr/>
  </w:style>
  <w:style w:type="paragraph" w:styleId="Antrats2" w:customStyle="1">
    <w:name w:val="Antraštės2"/>
    <w:basedOn w:val="Normal"/>
    <w:qFormat/>
    <w:rsid w:val="00011bcb"/>
    <w:pPr/>
    <w:rPr/>
  </w:style>
  <w:style w:type="paragraph" w:styleId="Puslapinantratirporat" w:customStyle="1">
    <w:name w:val="Puslapinė antraštė ir poraštė"/>
    <w:basedOn w:val="Normal"/>
    <w:qFormat/>
    <w:pPr/>
    <w:rPr/>
  </w:style>
  <w:style w:type="paragraph" w:styleId="Antrats3" w:customStyle="1">
    <w:name w:val="Antraštės3"/>
    <w:basedOn w:val="Normal"/>
    <w:link w:val="AntratsDiagrama1"/>
    <w:uiPriority w:val="99"/>
    <w:unhideWhenUsed/>
    <w:qFormat/>
    <w:rsid w:val="008a0629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Porat2" w:customStyle="1">
    <w:name w:val="Poraštė2"/>
    <w:basedOn w:val="Normal"/>
    <w:link w:val="PoratDiagrama1"/>
    <w:uiPriority w:val="99"/>
    <w:unhideWhenUsed/>
    <w:qFormat/>
    <w:rsid w:val="008a0629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Body" w:customStyle="1">
    <w:name w:val="Body"/>
    <w:qFormat/>
    <w:rsid w:val="00c0204a"/>
    <w:pPr>
      <w:widowControl/>
      <w:suppressAutoHyphens w:val="true"/>
      <w:bidi w:val="0"/>
      <w:spacing w:before="0" w:after="0"/>
      <w:jc w:val="left"/>
    </w:pPr>
    <w:rPr>
      <w:rFonts w:ascii="Cambria" w:hAnsi="Cambria" w:eastAsia="Arial Unicode MS" w:cs="Arial Unicode MS"/>
      <w:color w:val="000000"/>
      <w:kern w:val="0"/>
      <w:sz w:val="24"/>
      <w:szCs w:val="24"/>
      <w:u w:val="none" w:color="000000"/>
      <w:lang w:val="lt-LT" w:eastAsia="lt-LT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b/>
      <w:bCs/>
      <w:color w:val="auto"/>
      <w:kern w:val="0"/>
      <w:sz w:val="20"/>
      <w:szCs w:val="20"/>
      <w:lang w:val="lt-LT" w:eastAsia="lt-LT" w:bidi="ar-SA"/>
    </w:rPr>
  </w:style>
  <w:style w:type="paragraph" w:styleId="Annotationtext">
    <w:name w:val="annotation text"/>
    <w:basedOn w:val="Normal"/>
    <w:qFormat/>
    <w:pPr/>
    <w:rPr>
      <w:sz w:val="20"/>
      <w:szCs w:val="20"/>
      <w:lang w:eastAsia="lt-LT"/>
    </w:rPr>
  </w:style>
  <w:style w:type="paragraph" w:styleId="CharCharCharDiagramaCharCharCharCharCharCharCharCharCharCharDiagramaDiagramaDiagramaDiagramaChar" w:customStyle="1">
    <w:name w:val="Char Char Char Diagrama Char Char Char Char Char Char Char Char Char Char Diagrama Diagrama Diagrama Diagrama Char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Puslapinantrat">
    <w:name w:val="Header"/>
    <w:basedOn w:val="Puslapinantratirpor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99"/>
    <w:rsid w:val="00d04b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cebook.com/" TargetMode="External"/><Relationship Id="rId3" Type="http://schemas.openxmlformats.org/officeDocument/2006/relationships/hyperlink" Target="http://www.instagram.com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CFFB-78DC-4A45-A776-D8B568C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LibreOffice/7.3.5.2$Windows_X86_64 LibreOffice_project/184fe81b8c8c30d8b5082578aee2fed2ea847c01</Application>
  <AppVersion>15.0000</AppVersion>
  <Pages>14</Pages>
  <Words>2307</Words>
  <Characters>15552</Characters>
  <CharactersWithSpaces>17893</CharactersWithSpaces>
  <Paragraphs>659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2023-01-17T08:12:00Z</dcterms:created>
  <dc:creator>Sonata Vizorienė</dc:creator>
  <dc:description/>
  <dc:language>lt-LT</dc:language>
  <cp:lastModifiedBy/>
  <cp:lastPrinted>2023-01-12T09:14:00Z</cp:lastPrinted>
  <dcterms:modified xsi:type="dcterms:W3CDTF">2023-02-24T07:50:30Z</dcterms:modified>
  <cp:revision>94</cp:revision>
  <dc:subject/>
  <dc:title>PANEVĖŽIO MIESTO SAVIVALDYBĖS TARYBOS IR MERO SEKRETORIATO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